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281" w:rsidRPr="007E2A3E" w:rsidRDefault="00CA3281" w:rsidP="00CA3281">
      <w:pPr>
        <w:rPr>
          <w:rFonts w:asciiTheme="majorEastAsia" w:eastAsiaTheme="majorEastAsia" w:hAnsiTheme="majorEastAsia"/>
          <w:b/>
          <w:color w:val="000000"/>
          <w:sz w:val="32"/>
          <w:szCs w:val="32"/>
        </w:rPr>
      </w:pPr>
      <w:r w:rsidRPr="007E2A3E">
        <w:rPr>
          <w:rFonts w:asciiTheme="majorEastAsia" w:eastAsiaTheme="majorEastAsia" w:hAnsiTheme="majorEastAsia" w:hint="eastAsia"/>
          <w:b/>
          <w:color w:val="000000"/>
          <w:sz w:val="32"/>
          <w:szCs w:val="32"/>
        </w:rPr>
        <w:t>附件3</w:t>
      </w:r>
    </w:p>
    <w:p w:rsidR="00CA3281" w:rsidRPr="007E2A3E" w:rsidRDefault="00CA3281" w:rsidP="00CA3281">
      <w:pPr>
        <w:jc w:val="center"/>
        <w:rPr>
          <w:rFonts w:asciiTheme="majorEastAsia" w:eastAsiaTheme="majorEastAsia" w:hAnsiTheme="majorEastAsia"/>
          <w:b/>
          <w:color w:val="000000"/>
          <w:sz w:val="32"/>
          <w:szCs w:val="32"/>
        </w:rPr>
      </w:pPr>
      <w:r w:rsidRPr="007E2A3E">
        <w:rPr>
          <w:rFonts w:asciiTheme="majorEastAsia" w:eastAsiaTheme="majorEastAsia" w:hAnsiTheme="majorEastAsia" w:hint="eastAsia"/>
          <w:b/>
          <w:color w:val="000000"/>
          <w:sz w:val="32"/>
          <w:szCs w:val="32"/>
        </w:rPr>
        <w:t>“乾元—满溢”30天开放式资产组合型人民币理财产品</w:t>
      </w:r>
    </w:p>
    <w:p w:rsidR="00CA3281" w:rsidRPr="007E2A3E" w:rsidRDefault="00CA3281" w:rsidP="00CA3281">
      <w:pPr>
        <w:jc w:val="center"/>
        <w:rPr>
          <w:rFonts w:asciiTheme="majorEastAsia" w:eastAsiaTheme="majorEastAsia" w:hAnsiTheme="majorEastAsia"/>
          <w:b/>
          <w:color w:val="000000"/>
          <w:sz w:val="32"/>
          <w:szCs w:val="32"/>
        </w:rPr>
      </w:pPr>
      <w:r w:rsidRPr="007E2A3E">
        <w:rPr>
          <w:rFonts w:asciiTheme="majorEastAsia" w:eastAsiaTheme="majorEastAsia" w:hAnsiTheme="majorEastAsia" w:hint="eastAsia"/>
          <w:b/>
          <w:color w:val="000000"/>
          <w:sz w:val="32"/>
          <w:szCs w:val="32"/>
        </w:rPr>
        <w:t>（机构版）月度投资管理报告</w:t>
      </w:r>
    </w:p>
    <w:p w:rsidR="00CA3281" w:rsidRPr="007E2A3E" w:rsidRDefault="00CA3281" w:rsidP="00CA3281">
      <w:pPr>
        <w:spacing w:line="480" w:lineRule="exact"/>
        <w:ind w:firstLineChars="200" w:firstLine="420"/>
        <w:jc w:val="center"/>
        <w:rPr>
          <w:rFonts w:asciiTheme="majorEastAsia" w:eastAsiaTheme="majorEastAsia" w:hAnsiTheme="majorEastAsia"/>
          <w:color w:val="000000"/>
          <w:szCs w:val="21"/>
        </w:rPr>
      </w:pPr>
      <w:r w:rsidRPr="007E2A3E">
        <w:rPr>
          <w:rFonts w:asciiTheme="majorEastAsia" w:eastAsiaTheme="majorEastAsia" w:hAnsiTheme="majorEastAsia" w:hint="eastAsia"/>
          <w:color w:val="000000"/>
          <w:szCs w:val="21"/>
        </w:rPr>
        <w:t>报告日：201</w:t>
      </w:r>
      <w:r w:rsidR="00A27A60" w:rsidRPr="007E2A3E">
        <w:rPr>
          <w:rFonts w:asciiTheme="majorEastAsia" w:eastAsiaTheme="majorEastAsia" w:hAnsiTheme="majorEastAsia" w:hint="eastAsia"/>
          <w:color w:val="000000"/>
          <w:szCs w:val="21"/>
        </w:rPr>
        <w:t>8</w:t>
      </w:r>
      <w:r w:rsidRPr="007E2A3E">
        <w:rPr>
          <w:rFonts w:asciiTheme="majorEastAsia" w:eastAsiaTheme="majorEastAsia" w:hAnsiTheme="majorEastAsia" w:hint="eastAsia"/>
          <w:color w:val="000000"/>
          <w:szCs w:val="21"/>
        </w:rPr>
        <w:t>年</w:t>
      </w:r>
      <w:r w:rsidR="00BB3141">
        <w:rPr>
          <w:rFonts w:asciiTheme="majorEastAsia" w:eastAsiaTheme="majorEastAsia" w:hAnsiTheme="majorEastAsia" w:hint="eastAsia"/>
          <w:color w:val="000000"/>
          <w:szCs w:val="21"/>
        </w:rPr>
        <w:t>4</w:t>
      </w:r>
      <w:r w:rsidRPr="007E2A3E">
        <w:rPr>
          <w:rFonts w:asciiTheme="majorEastAsia" w:eastAsiaTheme="majorEastAsia" w:hAnsiTheme="majorEastAsia" w:hint="eastAsia"/>
          <w:color w:val="000000"/>
          <w:szCs w:val="21"/>
        </w:rPr>
        <w:t>月</w:t>
      </w:r>
      <w:r w:rsidR="00BB3141">
        <w:rPr>
          <w:rFonts w:asciiTheme="majorEastAsia" w:eastAsiaTheme="majorEastAsia" w:hAnsiTheme="majorEastAsia" w:hint="eastAsia"/>
          <w:color w:val="000000"/>
          <w:szCs w:val="21"/>
        </w:rPr>
        <w:t>30</w:t>
      </w:r>
      <w:r w:rsidRPr="007E2A3E">
        <w:rPr>
          <w:rFonts w:asciiTheme="majorEastAsia" w:eastAsiaTheme="majorEastAsia" w:hAnsiTheme="majorEastAsia" w:hint="eastAsia"/>
          <w:color w:val="000000"/>
          <w:szCs w:val="21"/>
        </w:rPr>
        <w:t xml:space="preserve">日    </w:t>
      </w:r>
    </w:p>
    <w:p w:rsidR="00CA3281" w:rsidRPr="007E2A3E" w:rsidRDefault="00CA3281" w:rsidP="00BB3141">
      <w:pPr>
        <w:ind w:firstLine="420"/>
        <w:rPr>
          <w:rFonts w:asciiTheme="majorEastAsia" w:eastAsiaTheme="majorEastAsia" w:hAnsiTheme="majorEastAsia"/>
          <w:color w:val="000000"/>
          <w:sz w:val="28"/>
          <w:szCs w:val="28"/>
        </w:rPr>
      </w:pPr>
      <w:r w:rsidRPr="007E2A3E">
        <w:rPr>
          <w:rFonts w:asciiTheme="majorEastAsia" w:eastAsiaTheme="majorEastAsia" w:hAnsiTheme="majorEastAsia" w:hint="eastAsia"/>
          <w:color w:val="000000"/>
          <w:sz w:val="28"/>
          <w:szCs w:val="28"/>
        </w:rPr>
        <w:t xml:space="preserve">“乾元—满溢”30天开放式资产组合型人民币理财产品（机构版）于2017年8月18日正式成立。截至报告日，本产品规模为                                         </w:t>
      </w:r>
      <w:r w:rsidR="00BB3141" w:rsidRPr="00BB3141">
        <w:rPr>
          <w:rFonts w:asciiTheme="majorEastAsia" w:eastAsiaTheme="majorEastAsia" w:hAnsiTheme="majorEastAsia" w:hint="eastAsia"/>
          <w:color w:val="000000"/>
          <w:sz w:val="28"/>
          <w:szCs w:val="28"/>
        </w:rPr>
        <w:t>5,822,424,670.00</w:t>
      </w:r>
      <w:r w:rsidRPr="007E2A3E">
        <w:rPr>
          <w:rFonts w:asciiTheme="majorEastAsia" w:eastAsiaTheme="majorEastAsia" w:hAnsiTheme="majorEastAsia" w:hint="eastAsia"/>
          <w:color w:val="000000"/>
          <w:sz w:val="28"/>
          <w:szCs w:val="28"/>
        </w:rPr>
        <w:t xml:space="preserve">元。  </w:t>
      </w:r>
    </w:p>
    <w:p w:rsidR="00CA3281" w:rsidRPr="007E2A3E" w:rsidRDefault="00CA3281" w:rsidP="00CA3281">
      <w:pPr>
        <w:ind w:firstLineChars="200" w:firstLine="562"/>
        <w:outlineLvl w:val="0"/>
        <w:rPr>
          <w:rFonts w:asciiTheme="majorEastAsia" w:eastAsiaTheme="majorEastAsia" w:hAnsiTheme="majorEastAsia"/>
          <w:b/>
          <w:color w:val="000000"/>
          <w:sz w:val="28"/>
          <w:szCs w:val="28"/>
        </w:rPr>
      </w:pPr>
      <w:r w:rsidRPr="007E2A3E">
        <w:rPr>
          <w:rFonts w:asciiTheme="majorEastAsia" w:eastAsiaTheme="majorEastAsia" w:hAnsiTheme="majorEastAsia" w:hint="eastAsia"/>
          <w:b/>
          <w:color w:val="000000"/>
          <w:sz w:val="28"/>
          <w:szCs w:val="28"/>
        </w:rPr>
        <w:t>一、报告期投资者实际收益率</w:t>
      </w:r>
    </w:p>
    <w:p w:rsidR="007E2A3E" w:rsidRPr="007E2A3E" w:rsidRDefault="007E2A3E" w:rsidP="007E2A3E">
      <w:pPr>
        <w:spacing w:line="560" w:lineRule="exact"/>
        <w:ind w:firstLineChars="200" w:firstLine="560"/>
        <w:rPr>
          <w:rFonts w:asciiTheme="majorEastAsia" w:eastAsiaTheme="majorEastAsia" w:hAnsiTheme="majorEastAsia"/>
          <w:sz w:val="28"/>
          <w:szCs w:val="28"/>
        </w:rPr>
      </w:pPr>
      <w:r w:rsidRPr="007E2A3E">
        <w:rPr>
          <w:rFonts w:asciiTheme="majorEastAsia" w:eastAsiaTheme="majorEastAsia" w:hAnsiTheme="majorEastAsia" w:hint="eastAsia"/>
          <w:sz w:val="28"/>
          <w:szCs w:val="28"/>
        </w:rPr>
        <w:t>中国建设银行于2018年</w:t>
      </w:r>
      <w:r w:rsidR="00BB3141">
        <w:rPr>
          <w:rFonts w:asciiTheme="majorEastAsia" w:eastAsiaTheme="majorEastAsia" w:hAnsiTheme="majorEastAsia" w:hint="eastAsia"/>
          <w:sz w:val="28"/>
          <w:szCs w:val="28"/>
        </w:rPr>
        <w:t>4</w:t>
      </w:r>
      <w:r w:rsidRPr="007E2A3E">
        <w:rPr>
          <w:rFonts w:asciiTheme="majorEastAsia" w:eastAsiaTheme="majorEastAsia" w:hAnsiTheme="majorEastAsia" w:hint="eastAsia"/>
          <w:sz w:val="28"/>
          <w:szCs w:val="28"/>
        </w:rPr>
        <w:t>月</w:t>
      </w:r>
      <w:r w:rsidR="00BB3141">
        <w:rPr>
          <w:rFonts w:asciiTheme="majorEastAsia" w:eastAsiaTheme="majorEastAsia" w:hAnsiTheme="majorEastAsia" w:hint="eastAsia"/>
          <w:sz w:val="28"/>
          <w:szCs w:val="28"/>
        </w:rPr>
        <w:t>10</w:t>
      </w:r>
      <w:r w:rsidRPr="007E2A3E">
        <w:rPr>
          <w:rFonts w:asciiTheme="majorEastAsia" w:eastAsiaTheme="majorEastAsia" w:hAnsiTheme="majorEastAsia" w:hint="eastAsia"/>
          <w:sz w:val="28"/>
          <w:szCs w:val="28"/>
        </w:rPr>
        <w:t>日（含）起，调整“乾元—满溢”30天开放式资产组合型人民币理财产品（机构版）客户</w:t>
      </w:r>
      <w:proofErr w:type="gramStart"/>
      <w:r w:rsidRPr="007E2A3E">
        <w:rPr>
          <w:rFonts w:asciiTheme="majorEastAsia" w:eastAsiaTheme="majorEastAsia" w:hAnsiTheme="majorEastAsia" w:hint="eastAsia"/>
          <w:sz w:val="28"/>
          <w:szCs w:val="28"/>
        </w:rPr>
        <w:t>预期年化收益率</w:t>
      </w:r>
      <w:proofErr w:type="gramEnd"/>
      <w:r w:rsidRPr="007E2A3E">
        <w:rPr>
          <w:rFonts w:asciiTheme="majorEastAsia" w:eastAsiaTheme="majorEastAsia" w:hAnsiTheme="majorEastAsia" w:hint="eastAsia"/>
          <w:sz w:val="28"/>
          <w:szCs w:val="28"/>
        </w:rPr>
        <w:t>，具体如下表：</w:t>
      </w:r>
    </w:p>
    <w:p w:rsidR="007E2A3E" w:rsidRPr="007E2A3E" w:rsidRDefault="007E2A3E" w:rsidP="007E2A3E">
      <w:pPr>
        <w:spacing w:line="560" w:lineRule="exact"/>
        <w:ind w:firstLineChars="200" w:firstLine="560"/>
        <w:rPr>
          <w:rFonts w:asciiTheme="majorEastAsia" w:eastAsiaTheme="majorEastAsia" w:hAnsiTheme="majorEastAsia"/>
          <w:sz w:val="28"/>
          <w:szCs w:val="28"/>
        </w:rPr>
      </w:pPr>
    </w:p>
    <w:tbl>
      <w:tblPr>
        <w:tblW w:w="42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2"/>
        <w:gridCol w:w="2155"/>
        <w:gridCol w:w="2409"/>
      </w:tblGrid>
      <w:tr w:rsidR="007E2A3E" w:rsidRPr="007E2A3E" w:rsidTr="007E2A3E">
        <w:trPr>
          <w:trHeight w:val="20"/>
          <w:tblHeader/>
          <w:jc w:val="center"/>
        </w:trPr>
        <w:tc>
          <w:tcPr>
            <w:tcW w:w="2643" w:type="dxa"/>
            <w:vAlign w:val="center"/>
            <w:hideMark/>
          </w:tcPr>
          <w:p w:rsidR="007E2A3E" w:rsidRPr="007E2A3E" w:rsidRDefault="007E2A3E" w:rsidP="006F340C">
            <w:pPr>
              <w:adjustRightInd w:val="0"/>
              <w:snapToGrid w:val="0"/>
              <w:jc w:val="center"/>
              <w:rPr>
                <w:rFonts w:asciiTheme="majorEastAsia" w:eastAsiaTheme="majorEastAsia" w:hAnsiTheme="majorEastAsia" w:cs="宋体"/>
                <w:b/>
                <w:color w:val="000000"/>
                <w:kern w:val="0"/>
                <w:szCs w:val="28"/>
              </w:rPr>
            </w:pPr>
            <w:r w:rsidRPr="007E2A3E">
              <w:rPr>
                <w:rFonts w:asciiTheme="majorEastAsia" w:eastAsiaTheme="majorEastAsia" w:hAnsiTheme="majorEastAsia" w:cs="宋体" w:hint="eastAsia"/>
                <w:b/>
                <w:color w:val="000000"/>
                <w:kern w:val="0"/>
                <w:szCs w:val="28"/>
              </w:rPr>
              <w:t>档期设置</w:t>
            </w:r>
          </w:p>
        </w:tc>
        <w:tc>
          <w:tcPr>
            <w:tcW w:w="2155" w:type="dxa"/>
            <w:vAlign w:val="center"/>
            <w:hideMark/>
          </w:tcPr>
          <w:p w:rsidR="007E2A3E" w:rsidRPr="007E2A3E" w:rsidRDefault="007E2A3E" w:rsidP="006F340C">
            <w:pPr>
              <w:adjustRightInd w:val="0"/>
              <w:snapToGrid w:val="0"/>
              <w:jc w:val="center"/>
              <w:rPr>
                <w:rFonts w:asciiTheme="majorEastAsia" w:eastAsiaTheme="majorEastAsia" w:hAnsiTheme="majorEastAsia" w:cs="宋体"/>
                <w:b/>
                <w:color w:val="000000"/>
                <w:kern w:val="0"/>
                <w:szCs w:val="28"/>
              </w:rPr>
            </w:pPr>
            <w:r w:rsidRPr="007E2A3E">
              <w:rPr>
                <w:rFonts w:asciiTheme="majorEastAsia" w:eastAsiaTheme="majorEastAsia" w:hAnsiTheme="majorEastAsia" w:cs="宋体" w:hint="eastAsia"/>
                <w:b/>
                <w:color w:val="000000"/>
                <w:kern w:val="0"/>
                <w:szCs w:val="28"/>
              </w:rPr>
              <w:t>客户</w:t>
            </w:r>
            <w:proofErr w:type="gramStart"/>
            <w:r w:rsidRPr="007E2A3E">
              <w:rPr>
                <w:rFonts w:asciiTheme="majorEastAsia" w:eastAsiaTheme="majorEastAsia" w:hAnsiTheme="majorEastAsia" w:cs="宋体" w:hint="eastAsia"/>
                <w:b/>
                <w:color w:val="000000"/>
                <w:kern w:val="0"/>
                <w:szCs w:val="28"/>
              </w:rPr>
              <w:t>预期年化收益率</w:t>
            </w:r>
            <w:proofErr w:type="gramEnd"/>
          </w:p>
          <w:p w:rsidR="007E2A3E" w:rsidRPr="007E2A3E" w:rsidRDefault="007E2A3E" w:rsidP="006F340C">
            <w:pPr>
              <w:adjustRightInd w:val="0"/>
              <w:snapToGrid w:val="0"/>
              <w:jc w:val="center"/>
              <w:rPr>
                <w:rFonts w:asciiTheme="majorEastAsia" w:eastAsiaTheme="majorEastAsia" w:hAnsiTheme="majorEastAsia" w:cs="宋体"/>
                <w:b/>
                <w:color w:val="000000"/>
                <w:kern w:val="0"/>
                <w:szCs w:val="28"/>
              </w:rPr>
            </w:pPr>
            <w:r w:rsidRPr="007E2A3E">
              <w:rPr>
                <w:rFonts w:asciiTheme="majorEastAsia" w:eastAsiaTheme="majorEastAsia" w:hAnsiTheme="majorEastAsia" w:cs="宋体" w:hint="eastAsia"/>
                <w:b/>
                <w:color w:val="000000"/>
                <w:kern w:val="0"/>
                <w:szCs w:val="28"/>
              </w:rPr>
              <w:t>（调整前）</w:t>
            </w:r>
          </w:p>
        </w:tc>
        <w:tc>
          <w:tcPr>
            <w:tcW w:w="2409" w:type="dxa"/>
            <w:hideMark/>
          </w:tcPr>
          <w:p w:rsidR="007E2A3E" w:rsidRPr="007E2A3E" w:rsidRDefault="007E2A3E" w:rsidP="006F340C">
            <w:pPr>
              <w:adjustRightInd w:val="0"/>
              <w:snapToGrid w:val="0"/>
              <w:jc w:val="center"/>
              <w:rPr>
                <w:rFonts w:asciiTheme="majorEastAsia" w:eastAsiaTheme="majorEastAsia" w:hAnsiTheme="majorEastAsia" w:cs="宋体"/>
                <w:b/>
                <w:color w:val="000000"/>
                <w:kern w:val="0"/>
                <w:szCs w:val="28"/>
              </w:rPr>
            </w:pPr>
            <w:r w:rsidRPr="007E2A3E">
              <w:rPr>
                <w:rFonts w:asciiTheme="majorEastAsia" w:eastAsiaTheme="majorEastAsia" w:hAnsiTheme="majorEastAsia" w:cs="宋体" w:hint="eastAsia"/>
                <w:b/>
                <w:color w:val="000000"/>
                <w:kern w:val="0"/>
                <w:szCs w:val="28"/>
              </w:rPr>
              <w:t>客户</w:t>
            </w:r>
            <w:proofErr w:type="gramStart"/>
            <w:r w:rsidRPr="007E2A3E">
              <w:rPr>
                <w:rFonts w:asciiTheme="majorEastAsia" w:eastAsiaTheme="majorEastAsia" w:hAnsiTheme="majorEastAsia" w:cs="宋体" w:hint="eastAsia"/>
                <w:b/>
                <w:color w:val="000000"/>
                <w:kern w:val="0"/>
                <w:szCs w:val="28"/>
              </w:rPr>
              <w:t>预期年化收益率</w:t>
            </w:r>
            <w:proofErr w:type="gramEnd"/>
          </w:p>
          <w:p w:rsidR="007E2A3E" w:rsidRPr="007E2A3E" w:rsidRDefault="007E2A3E" w:rsidP="006F340C">
            <w:pPr>
              <w:adjustRightInd w:val="0"/>
              <w:snapToGrid w:val="0"/>
              <w:jc w:val="center"/>
              <w:rPr>
                <w:rFonts w:asciiTheme="majorEastAsia" w:eastAsiaTheme="majorEastAsia" w:hAnsiTheme="majorEastAsia" w:cs="宋体"/>
                <w:b/>
                <w:color w:val="000000"/>
                <w:kern w:val="0"/>
                <w:szCs w:val="28"/>
              </w:rPr>
            </w:pPr>
            <w:r w:rsidRPr="007E2A3E">
              <w:rPr>
                <w:rFonts w:asciiTheme="majorEastAsia" w:eastAsiaTheme="majorEastAsia" w:hAnsiTheme="majorEastAsia" w:cs="宋体" w:hint="eastAsia"/>
                <w:b/>
                <w:color w:val="000000"/>
                <w:kern w:val="0"/>
                <w:szCs w:val="28"/>
              </w:rPr>
              <w:t>（调整后）</w:t>
            </w:r>
          </w:p>
        </w:tc>
      </w:tr>
      <w:tr w:rsidR="007E2A3E" w:rsidRPr="007E2A3E" w:rsidTr="007E2A3E">
        <w:trPr>
          <w:trHeight w:val="20"/>
          <w:jc w:val="center"/>
        </w:trPr>
        <w:tc>
          <w:tcPr>
            <w:tcW w:w="2643" w:type="dxa"/>
            <w:vAlign w:val="center"/>
            <w:hideMark/>
          </w:tcPr>
          <w:p w:rsidR="007E2A3E" w:rsidRPr="007E2A3E" w:rsidRDefault="007E2A3E" w:rsidP="006F340C">
            <w:pPr>
              <w:adjustRightInd w:val="0"/>
              <w:snapToGrid w:val="0"/>
              <w:jc w:val="center"/>
              <w:rPr>
                <w:rFonts w:asciiTheme="majorEastAsia" w:eastAsiaTheme="majorEastAsia" w:hAnsiTheme="majorEastAsia" w:cs="Calibri"/>
                <w:color w:val="000000"/>
                <w:kern w:val="0"/>
                <w:szCs w:val="28"/>
              </w:rPr>
            </w:pPr>
            <w:r w:rsidRPr="007E2A3E">
              <w:rPr>
                <w:rFonts w:asciiTheme="majorEastAsia" w:eastAsiaTheme="majorEastAsia" w:hAnsiTheme="majorEastAsia" w:cs="Calibri" w:hint="eastAsia"/>
                <w:color w:val="000000"/>
                <w:kern w:val="0"/>
                <w:szCs w:val="28"/>
              </w:rPr>
              <w:t>30天</w:t>
            </w:r>
          </w:p>
        </w:tc>
        <w:tc>
          <w:tcPr>
            <w:tcW w:w="2155" w:type="dxa"/>
            <w:hideMark/>
          </w:tcPr>
          <w:p w:rsidR="007E2A3E" w:rsidRPr="007E2A3E" w:rsidRDefault="00BB3141" w:rsidP="00BB3141">
            <w:pPr>
              <w:adjustRightInd w:val="0"/>
              <w:snapToGrid w:val="0"/>
              <w:jc w:val="center"/>
              <w:rPr>
                <w:rFonts w:asciiTheme="majorEastAsia" w:eastAsiaTheme="majorEastAsia" w:hAnsiTheme="majorEastAsia" w:cs="宋体"/>
                <w:color w:val="000000"/>
                <w:kern w:val="0"/>
                <w:szCs w:val="28"/>
              </w:rPr>
            </w:pPr>
            <w:r>
              <w:rPr>
                <w:rFonts w:asciiTheme="majorEastAsia" w:eastAsiaTheme="majorEastAsia" w:hAnsiTheme="majorEastAsia" w:cs="宋体" w:hint="eastAsia"/>
                <w:color w:val="000000"/>
                <w:kern w:val="0"/>
                <w:szCs w:val="28"/>
              </w:rPr>
              <w:t>4.60</w:t>
            </w:r>
            <w:r w:rsidR="007E2A3E" w:rsidRPr="007E2A3E">
              <w:rPr>
                <w:rFonts w:asciiTheme="majorEastAsia" w:eastAsiaTheme="majorEastAsia" w:hAnsiTheme="majorEastAsia" w:cs="宋体" w:hint="eastAsia"/>
                <w:color w:val="000000"/>
                <w:kern w:val="0"/>
                <w:szCs w:val="28"/>
              </w:rPr>
              <w:t>%</w:t>
            </w:r>
          </w:p>
        </w:tc>
        <w:tc>
          <w:tcPr>
            <w:tcW w:w="2409" w:type="dxa"/>
            <w:hideMark/>
          </w:tcPr>
          <w:p w:rsidR="007E2A3E" w:rsidRPr="007E2A3E" w:rsidRDefault="007E2A3E" w:rsidP="00BB3141">
            <w:pPr>
              <w:adjustRightInd w:val="0"/>
              <w:snapToGrid w:val="0"/>
              <w:jc w:val="center"/>
              <w:rPr>
                <w:rFonts w:asciiTheme="majorEastAsia" w:eastAsiaTheme="majorEastAsia" w:hAnsiTheme="majorEastAsia" w:cs="宋体"/>
                <w:color w:val="000000"/>
                <w:kern w:val="0"/>
                <w:szCs w:val="28"/>
              </w:rPr>
            </w:pPr>
            <w:r w:rsidRPr="007E2A3E">
              <w:rPr>
                <w:rFonts w:asciiTheme="majorEastAsia" w:eastAsiaTheme="majorEastAsia" w:hAnsiTheme="majorEastAsia" w:cs="宋体" w:hint="eastAsia"/>
                <w:color w:val="000000"/>
                <w:kern w:val="0"/>
                <w:szCs w:val="28"/>
              </w:rPr>
              <w:t>4.</w:t>
            </w:r>
            <w:r w:rsidR="00BB3141">
              <w:rPr>
                <w:rFonts w:asciiTheme="majorEastAsia" w:eastAsiaTheme="majorEastAsia" w:hAnsiTheme="majorEastAsia" w:cs="宋体" w:hint="eastAsia"/>
                <w:color w:val="000000"/>
                <w:kern w:val="0"/>
                <w:szCs w:val="28"/>
              </w:rPr>
              <w:t>35</w:t>
            </w:r>
            <w:r w:rsidRPr="007E2A3E">
              <w:rPr>
                <w:rFonts w:asciiTheme="majorEastAsia" w:eastAsiaTheme="majorEastAsia" w:hAnsiTheme="majorEastAsia" w:cs="宋体" w:hint="eastAsia"/>
                <w:color w:val="000000"/>
                <w:kern w:val="0"/>
                <w:szCs w:val="28"/>
              </w:rPr>
              <w:t>%</w:t>
            </w:r>
          </w:p>
        </w:tc>
      </w:tr>
    </w:tbl>
    <w:p w:rsidR="007E2A3E" w:rsidRPr="007E2A3E" w:rsidRDefault="007E2A3E" w:rsidP="007E2A3E">
      <w:pPr>
        <w:spacing w:line="560" w:lineRule="exact"/>
        <w:rPr>
          <w:rFonts w:asciiTheme="majorEastAsia" w:eastAsiaTheme="majorEastAsia" w:hAnsiTheme="majorEastAsia"/>
          <w:color w:val="000000"/>
          <w:sz w:val="28"/>
          <w:szCs w:val="28"/>
        </w:rPr>
      </w:pPr>
    </w:p>
    <w:p w:rsidR="00AA7A73" w:rsidRDefault="007E2A3E" w:rsidP="00AA7A73">
      <w:pPr>
        <w:ind w:firstLineChars="200" w:firstLine="560"/>
        <w:rPr>
          <w:rFonts w:asciiTheme="majorEastAsia" w:eastAsiaTheme="majorEastAsia" w:hAnsiTheme="majorEastAsia"/>
          <w:color w:val="000000"/>
          <w:sz w:val="28"/>
          <w:szCs w:val="28"/>
        </w:rPr>
      </w:pPr>
      <w:r w:rsidRPr="00AA7A73">
        <w:rPr>
          <w:rFonts w:asciiTheme="majorEastAsia" w:eastAsiaTheme="majorEastAsia" w:hAnsiTheme="majorEastAsia" w:hint="eastAsia"/>
          <w:color w:val="000000"/>
          <w:sz w:val="28"/>
          <w:szCs w:val="28"/>
        </w:rPr>
        <w:t>新客户</w:t>
      </w:r>
      <w:proofErr w:type="gramStart"/>
      <w:r w:rsidRPr="00AA7A73">
        <w:rPr>
          <w:rFonts w:asciiTheme="majorEastAsia" w:eastAsiaTheme="majorEastAsia" w:hAnsiTheme="majorEastAsia" w:hint="eastAsia"/>
          <w:color w:val="000000"/>
          <w:sz w:val="28"/>
          <w:szCs w:val="28"/>
        </w:rPr>
        <w:t>预期年化收益率</w:t>
      </w:r>
      <w:proofErr w:type="gramEnd"/>
      <w:r w:rsidRPr="00AA7A73">
        <w:rPr>
          <w:rFonts w:asciiTheme="majorEastAsia" w:eastAsiaTheme="majorEastAsia" w:hAnsiTheme="majorEastAsia" w:hint="eastAsia"/>
          <w:color w:val="000000"/>
          <w:sz w:val="28"/>
          <w:szCs w:val="28"/>
        </w:rPr>
        <w:t>于</w:t>
      </w:r>
      <w:r w:rsidR="00BB3141">
        <w:rPr>
          <w:rFonts w:asciiTheme="majorEastAsia" w:eastAsiaTheme="majorEastAsia" w:hAnsiTheme="majorEastAsia" w:hint="eastAsia"/>
          <w:sz w:val="28"/>
          <w:szCs w:val="28"/>
        </w:rPr>
        <w:t>2018年4月10日</w:t>
      </w:r>
      <w:r w:rsidRPr="00AA7A73">
        <w:rPr>
          <w:rFonts w:asciiTheme="majorEastAsia" w:eastAsiaTheme="majorEastAsia" w:hAnsiTheme="majorEastAsia" w:hint="eastAsia"/>
          <w:color w:val="000000"/>
          <w:sz w:val="28"/>
          <w:szCs w:val="28"/>
        </w:rPr>
        <w:t>（含）起执行。对于</w:t>
      </w:r>
      <w:r w:rsidR="00BB3141">
        <w:rPr>
          <w:rFonts w:asciiTheme="majorEastAsia" w:eastAsiaTheme="majorEastAsia" w:hAnsiTheme="majorEastAsia" w:hint="eastAsia"/>
          <w:sz w:val="28"/>
          <w:szCs w:val="28"/>
        </w:rPr>
        <w:t>2018年4月10日</w:t>
      </w:r>
      <w:r w:rsidRPr="00AA7A73">
        <w:rPr>
          <w:rFonts w:asciiTheme="majorEastAsia" w:eastAsiaTheme="majorEastAsia" w:hAnsiTheme="majorEastAsia" w:hint="eastAsia"/>
          <w:sz w:val="28"/>
          <w:szCs w:val="28"/>
        </w:rPr>
        <w:t>（不含）</w:t>
      </w:r>
      <w:r w:rsidRPr="00AA7A73">
        <w:rPr>
          <w:rFonts w:asciiTheme="majorEastAsia" w:eastAsiaTheme="majorEastAsia" w:hAnsiTheme="majorEastAsia" w:hint="eastAsia"/>
          <w:color w:val="000000"/>
          <w:sz w:val="28"/>
          <w:szCs w:val="28"/>
        </w:rPr>
        <w:t>前已经购买成功且未赎回的存量投资本金，其中封闭期内的份额仍按照购买确认日当日的客户</w:t>
      </w:r>
      <w:proofErr w:type="gramStart"/>
      <w:r w:rsidRPr="00AA7A73">
        <w:rPr>
          <w:rFonts w:asciiTheme="majorEastAsia" w:eastAsiaTheme="majorEastAsia" w:hAnsiTheme="majorEastAsia" w:hint="eastAsia"/>
          <w:color w:val="000000"/>
          <w:sz w:val="28"/>
          <w:szCs w:val="28"/>
        </w:rPr>
        <w:t>预期年化收益率</w:t>
      </w:r>
      <w:proofErr w:type="gramEnd"/>
      <w:r w:rsidRPr="00AA7A73">
        <w:rPr>
          <w:rFonts w:asciiTheme="majorEastAsia" w:eastAsiaTheme="majorEastAsia" w:hAnsiTheme="majorEastAsia" w:hint="eastAsia"/>
          <w:color w:val="000000"/>
          <w:sz w:val="28"/>
          <w:szCs w:val="28"/>
        </w:rPr>
        <w:t>计算投资收益，非封闭期内的份额从</w:t>
      </w:r>
      <w:r w:rsidR="00BB3141">
        <w:rPr>
          <w:rFonts w:asciiTheme="majorEastAsia" w:eastAsiaTheme="majorEastAsia" w:hAnsiTheme="majorEastAsia" w:hint="eastAsia"/>
          <w:sz w:val="28"/>
          <w:szCs w:val="28"/>
        </w:rPr>
        <w:t>2018年4月10日</w:t>
      </w:r>
      <w:r w:rsidRPr="00AA7A73">
        <w:rPr>
          <w:rFonts w:asciiTheme="majorEastAsia" w:eastAsiaTheme="majorEastAsia" w:hAnsiTheme="majorEastAsia" w:hint="eastAsia"/>
          <w:color w:val="000000"/>
          <w:sz w:val="28"/>
          <w:szCs w:val="28"/>
        </w:rPr>
        <w:t>（含）起按调整后的</w:t>
      </w:r>
      <w:proofErr w:type="gramStart"/>
      <w:r w:rsidRPr="00AA7A73">
        <w:rPr>
          <w:rFonts w:asciiTheme="majorEastAsia" w:eastAsiaTheme="majorEastAsia" w:hAnsiTheme="majorEastAsia" w:hint="eastAsia"/>
          <w:color w:val="000000"/>
          <w:sz w:val="28"/>
          <w:szCs w:val="28"/>
        </w:rPr>
        <w:t>预期年化收益率</w:t>
      </w:r>
      <w:proofErr w:type="gramEnd"/>
      <w:r w:rsidRPr="00AA7A73">
        <w:rPr>
          <w:rFonts w:asciiTheme="majorEastAsia" w:eastAsiaTheme="majorEastAsia" w:hAnsiTheme="majorEastAsia" w:hint="eastAsia"/>
          <w:color w:val="000000"/>
          <w:sz w:val="28"/>
          <w:szCs w:val="28"/>
        </w:rPr>
        <w:t>计算投资收益。</w:t>
      </w:r>
      <w:r w:rsidR="00BB3141">
        <w:rPr>
          <w:rFonts w:asciiTheme="majorEastAsia" w:eastAsiaTheme="majorEastAsia" w:hAnsiTheme="majorEastAsia" w:hint="eastAsia"/>
          <w:sz w:val="28"/>
          <w:szCs w:val="28"/>
        </w:rPr>
        <w:t>2018年4月10日</w:t>
      </w:r>
      <w:r w:rsidRPr="00AA7A73">
        <w:rPr>
          <w:rFonts w:asciiTheme="majorEastAsia" w:eastAsiaTheme="majorEastAsia" w:hAnsiTheme="majorEastAsia" w:hint="eastAsia"/>
          <w:color w:val="000000"/>
          <w:sz w:val="28"/>
          <w:szCs w:val="28"/>
        </w:rPr>
        <w:t>（含）后购买的部分自动执行调整后的客户</w:t>
      </w:r>
      <w:proofErr w:type="gramStart"/>
      <w:r w:rsidRPr="00AA7A73">
        <w:rPr>
          <w:rFonts w:asciiTheme="majorEastAsia" w:eastAsiaTheme="majorEastAsia" w:hAnsiTheme="majorEastAsia" w:hint="eastAsia"/>
          <w:color w:val="000000"/>
          <w:sz w:val="28"/>
          <w:szCs w:val="28"/>
        </w:rPr>
        <w:t>预期年化收益率</w:t>
      </w:r>
      <w:proofErr w:type="gramEnd"/>
      <w:r w:rsidRPr="00AA7A73">
        <w:rPr>
          <w:rFonts w:asciiTheme="majorEastAsia" w:eastAsiaTheme="majorEastAsia" w:hAnsiTheme="majorEastAsia" w:hint="eastAsia"/>
          <w:color w:val="000000"/>
          <w:sz w:val="28"/>
          <w:szCs w:val="28"/>
        </w:rPr>
        <w:t>。但前述情形下的最终投资收益均以我行最终支付的实际年化收益率为准。</w:t>
      </w:r>
    </w:p>
    <w:p w:rsidR="00CA3281" w:rsidRPr="00AA7A73" w:rsidRDefault="00CA3281" w:rsidP="00AA7A73">
      <w:pPr>
        <w:ind w:firstLineChars="200" w:firstLine="560"/>
        <w:rPr>
          <w:rFonts w:asciiTheme="majorEastAsia" w:eastAsiaTheme="majorEastAsia" w:hAnsiTheme="majorEastAsia"/>
          <w:color w:val="000000"/>
          <w:sz w:val="28"/>
          <w:szCs w:val="28"/>
        </w:rPr>
      </w:pPr>
      <w:r w:rsidRPr="00AA7A73">
        <w:rPr>
          <w:rFonts w:asciiTheme="majorEastAsia" w:eastAsiaTheme="majorEastAsia" w:hAnsiTheme="majorEastAsia" w:hint="eastAsia"/>
          <w:color w:val="000000"/>
          <w:sz w:val="28"/>
          <w:szCs w:val="28"/>
        </w:rPr>
        <w:t>相关收益及计算方法，请具体查阅对应的收益率调整公告及产品</w:t>
      </w:r>
      <w:r w:rsidRPr="00AA7A73">
        <w:rPr>
          <w:rFonts w:asciiTheme="majorEastAsia" w:eastAsiaTheme="majorEastAsia" w:hAnsiTheme="majorEastAsia" w:hint="eastAsia"/>
          <w:color w:val="000000"/>
          <w:sz w:val="28"/>
          <w:szCs w:val="28"/>
        </w:rPr>
        <w:lastRenderedPageBreak/>
        <w:t>说明书。</w:t>
      </w:r>
    </w:p>
    <w:p w:rsidR="00CA3281" w:rsidRPr="007E2A3E" w:rsidRDefault="00CA3281" w:rsidP="00CA3281">
      <w:pPr>
        <w:spacing w:line="480" w:lineRule="exact"/>
        <w:ind w:firstLineChars="200" w:firstLine="562"/>
        <w:outlineLvl w:val="0"/>
        <w:rPr>
          <w:rFonts w:asciiTheme="majorEastAsia" w:eastAsiaTheme="majorEastAsia" w:hAnsiTheme="majorEastAsia"/>
          <w:b/>
          <w:color w:val="000000"/>
          <w:sz w:val="28"/>
          <w:szCs w:val="28"/>
        </w:rPr>
      </w:pPr>
      <w:r w:rsidRPr="007E2A3E">
        <w:rPr>
          <w:rFonts w:asciiTheme="majorEastAsia" w:eastAsiaTheme="majorEastAsia" w:hAnsiTheme="majorEastAsia" w:hint="eastAsia"/>
          <w:b/>
          <w:color w:val="000000"/>
          <w:sz w:val="28"/>
          <w:szCs w:val="28"/>
        </w:rPr>
        <w:t>二、产品投资组合详细情况</w:t>
      </w:r>
    </w:p>
    <w:p w:rsidR="00CA3281" w:rsidRPr="007E2A3E" w:rsidRDefault="00CA3281" w:rsidP="00CA3281">
      <w:pPr>
        <w:spacing w:line="480" w:lineRule="exact"/>
        <w:ind w:firstLineChars="200" w:firstLine="562"/>
        <w:outlineLvl w:val="0"/>
        <w:rPr>
          <w:rFonts w:asciiTheme="majorEastAsia" w:eastAsiaTheme="majorEastAsia" w:hAnsiTheme="majorEastAsia"/>
          <w:b/>
          <w:color w:val="000000"/>
          <w:sz w:val="28"/>
          <w:szCs w:val="28"/>
        </w:rPr>
      </w:pPr>
      <w:r w:rsidRPr="007E2A3E">
        <w:rPr>
          <w:rFonts w:asciiTheme="majorEastAsia" w:eastAsiaTheme="majorEastAsia" w:hAnsiTheme="majorEastAsia" w:hint="eastAsia"/>
          <w:b/>
          <w:color w:val="000000"/>
          <w:sz w:val="28"/>
          <w:szCs w:val="28"/>
        </w:rPr>
        <w:t>（一）投资组合的基本情况</w:t>
      </w:r>
    </w:p>
    <w:p w:rsidR="00CA3281" w:rsidRPr="007E2A3E" w:rsidRDefault="00BB3141" w:rsidP="00CA3281">
      <w:pPr>
        <w:jc w:val="center"/>
        <w:rPr>
          <w:rFonts w:asciiTheme="majorEastAsia" w:eastAsiaTheme="majorEastAsia" w:hAnsiTheme="majorEastAsia"/>
          <w:color w:val="000000"/>
          <w:sz w:val="28"/>
          <w:szCs w:val="28"/>
        </w:rPr>
      </w:pPr>
      <w:r>
        <w:rPr>
          <w:noProof/>
        </w:rPr>
        <w:drawing>
          <wp:inline distT="0" distB="0" distL="0" distR="0" wp14:anchorId="6CD3922D" wp14:editId="6E16ECAF">
            <wp:extent cx="3448050" cy="1638300"/>
            <wp:effectExtent l="3810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A3281" w:rsidRPr="007E2A3E" w:rsidRDefault="00CA3281" w:rsidP="00CA3281">
      <w:pPr>
        <w:spacing w:line="480" w:lineRule="exact"/>
        <w:ind w:firstLineChars="146" w:firstLine="410"/>
        <w:outlineLvl w:val="0"/>
        <w:rPr>
          <w:rFonts w:asciiTheme="majorEastAsia" w:eastAsiaTheme="majorEastAsia" w:hAnsiTheme="majorEastAsia"/>
          <w:b/>
          <w:color w:val="000000"/>
          <w:sz w:val="28"/>
          <w:szCs w:val="28"/>
        </w:rPr>
      </w:pPr>
      <w:r w:rsidRPr="007E2A3E">
        <w:rPr>
          <w:rFonts w:asciiTheme="majorEastAsia" w:eastAsiaTheme="majorEastAsia" w:hAnsiTheme="majorEastAsia" w:hint="eastAsia"/>
          <w:b/>
          <w:color w:val="000000"/>
          <w:sz w:val="28"/>
          <w:szCs w:val="28"/>
        </w:rPr>
        <w:t xml:space="preserve"> （二）融资类资产的行内评级构成</w:t>
      </w:r>
    </w:p>
    <w:p w:rsidR="00CA3281" w:rsidRPr="007E2A3E" w:rsidRDefault="00BB3141" w:rsidP="00CA3281">
      <w:pPr>
        <w:jc w:val="center"/>
        <w:rPr>
          <w:rFonts w:asciiTheme="majorEastAsia" w:eastAsiaTheme="majorEastAsia" w:hAnsiTheme="majorEastAsia"/>
          <w:color w:val="000000"/>
          <w:sz w:val="28"/>
          <w:szCs w:val="28"/>
        </w:rPr>
      </w:pPr>
      <w:r>
        <w:rPr>
          <w:noProof/>
        </w:rPr>
        <w:drawing>
          <wp:inline distT="0" distB="0" distL="0" distR="0" wp14:anchorId="57F9B943" wp14:editId="4F48925E">
            <wp:extent cx="3333750" cy="2019300"/>
            <wp:effectExtent l="0" t="0" r="19050"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A3281" w:rsidRPr="007E2A3E" w:rsidRDefault="00CA3281" w:rsidP="00CA3281">
      <w:pPr>
        <w:spacing w:line="480" w:lineRule="exact"/>
        <w:ind w:firstLineChars="200" w:firstLine="562"/>
        <w:outlineLvl w:val="0"/>
        <w:rPr>
          <w:rFonts w:asciiTheme="majorEastAsia" w:eastAsiaTheme="majorEastAsia" w:hAnsiTheme="majorEastAsia"/>
          <w:b/>
          <w:color w:val="000000"/>
          <w:sz w:val="28"/>
          <w:szCs w:val="28"/>
        </w:rPr>
      </w:pPr>
      <w:r w:rsidRPr="007E2A3E">
        <w:rPr>
          <w:rFonts w:asciiTheme="majorEastAsia" w:eastAsiaTheme="majorEastAsia" w:hAnsiTheme="majorEastAsia" w:hint="eastAsia"/>
          <w:b/>
          <w:color w:val="000000"/>
          <w:sz w:val="28"/>
          <w:szCs w:val="28"/>
        </w:rPr>
        <w:t>（三</w:t>
      </w:r>
      <w:r w:rsidRPr="007E2A3E">
        <w:rPr>
          <w:rFonts w:asciiTheme="majorEastAsia" w:eastAsiaTheme="majorEastAsia" w:hAnsiTheme="majorEastAsia"/>
          <w:b/>
          <w:color w:val="000000"/>
          <w:sz w:val="28"/>
          <w:szCs w:val="28"/>
        </w:rPr>
        <w:t>）</w:t>
      </w:r>
      <w:r w:rsidRPr="007E2A3E">
        <w:rPr>
          <w:rFonts w:asciiTheme="majorEastAsia" w:eastAsiaTheme="majorEastAsia" w:hAnsiTheme="majorEastAsia" w:hint="eastAsia"/>
          <w:b/>
          <w:color w:val="000000"/>
          <w:sz w:val="28"/>
          <w:szCs w:val="28"/>
        </w:rPr>
        <w:t>融资类资产的行业占</w:t>
      </w:r>
      <w:proofErr w:type="gramStart"/>
      <w:r w:rsidRPr="007E2A3E">
        <w:rPr>
          <w:rFonts w:asciiTheme="majorEastAsia" w:eastAsiaTheme="majorEastAsia" w:hAnsiTheme="majorEastAsia" w:hint="eastAsia"/>
          <w:b/>
          <w:color w:val="000000"/>
          <w:sz w:val="28"/>
          <w:szCs w:val="28"/>
        </w:rPr>
        <w:t>比构成</w:t>
      </w:r>
      <w:proofErr w:type="gramEnd"/>
      <w:r w:rsidRPr="007E2A3E">
        <w:rPr>
          <w:rFonts w:asciiTheme="majorEastAsia" w:eastAsiaTheme="majorEastAsia" w:hAnsiTheme="majorEastAsia" w:hint="eastAsia"/>
          <w:b/>
          <w:color w:val="000000"/>
          <w:sz w:val="28"/>
          <w:szCs w:val="28"/>
        </w:rPr>
        <w:t>及当月增减变化情况</w:t>
      </w:r>
    </w:p>
    <w:p w:rsidR="00CA3281" w:rsidRPr="007E2A3E" w:rsidRDefault="008C1C11" w:rsidP="00FE2282">
      <w:pPr>
        <w:ind w:right="1400"/>
        <w:jc w:val="center"/>
        <w:rPr>
          <w:rFonts w:asciiTheme="majorEastAsia" w:eastAsiaTheme="majorEastAsia" w:hAnsiTheme="majorEastAsia"/>
          <w:color w:val="000000"/>
          <w:sz w:val="28"/>
          <w:szCs w:val="28"/>
        </w:rPr>
      </w:pPr>
      <w:r>
        <w:rPr>
          <w:noProof/>
        </w:rPr>
        <w:drawing>
          <wp:inline distT="0" distB="0" distL="0" distR="0" wp14:anchorId="020259DF" wp14:editId="090C9DA8">
            <wp:extent cx="5229225" cy="3067050"/>
            <wp:effectExtent l="0" t="0" r="9525" b="190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A3281" w:rsidRPr="007E2A3E" w:rsidRDefault="00CA3281" w:rsidP="00CA3281">
      <w:pPr>
        <w:spacing w:line="480" w:lineRule="exact"/>
        <w:ind w:firstLineChars="200" w:firstLine="562"/>
        <w:outlineLvl w:val="0"/>
        <w:rPr>
          <w:rFonts w:asciiTheme="majorEastAsia" w:eastAsiaTheme="majorEastAsia" w:hAnsiTheme="majorEastAsia"/>
          <w:color w:val="000000"/>
          <w:sz w:val="28"/>
          <w:szCs w:val="28"/>
        </w:rPr>
      </w:pPr>
      <w:r w:rsidRPr="007E2A3E">
        <w:rPr>
          <w:rFonts w:asciiTheme="majorEastAsia" w:eastAsiaTheme="majorEastAsia" w:hAnsiTheme="majorEastAsia" w:hint="eastAsia"/>
          <w:b/>
          <w:color w:val="000000"/>
          <w:sz w:val="28"/>
          <w:szCs w:val="28"/>
        </w:rPr>
        <w:lastRenderedPageBreak/>
        <w:t>三、产品整体运作情况</w:t>
      </w:r>
    </w:p>
    <w:p w:rsidR="00CA3281" w:rsidRPr="007E2A3E" w:rsidRDefault="00CA3281" w:rsidP="00CA3281">
      <w:pPr>
        <w:spacing w:line="480" w:lineRule="exact"/>
        <w:ind w:firstLineChars="150" w:firstLine="420"/>
        <w:rPr>
          <w:rFonts w:asciiTheme="majorEastAsia" w:eastAsiaTheme="majorEastAsia" w:hAnsiTheme="majorEastAsia"/>
          <w:color w:val="000000"/>
          <w:sz w:val="28"/>
          <w:szCs w:val="28"/>
        </w:rPr>
      </w:pPr>
      <w:r w:rsidRPr="007E2A3E">
        <w:rPr>
          <w:rFonts w:asciiTheme="majorEastAsia" w:eastAsiaTheme="majorEastAsia" w:hAnsiTheme="majorEastAsia" w:hint="eastAsia"/>
          <w:color w:val="000000"/>
          <w:sz w:val="28"/>
          <w:szCs w:val="28"/>
        </w:rPr>
        <w:t>（1）自本产品成立起至本报告日，产品管理人恪尽职守、勤勉尽责、谨慎管理，忠实履行有关法律、行政法规和相关文件的规定。</w:t>
      </w:r>
    </w:p>
    <w:p w:rsidR="00CA3281" w:rsidRPr="007E2A3E" w:rsidRDefault="00CA3281" w:rsidP="00CA3281">
      <w:pPr>
        <w:spacing w:line="480" w:lineRule="exact"/>
        <w:ind w:firstLineChars="150" w:firstLine="420"/>
        <w:rPr>
          <w:rFonts w:asciiTheme="majorEastAsia" w:eastAsiaTheme="majorEastAsia" w:hAnsiTheme="majorEastAsia"/>
          <w:color w:val="000000"/>
          <w:sz w:val="28"/>
          <w:szCs w:val="28"/>
        </w:rPr>
      </w:pPr>
      <w:r w:rsidRPr="007E2A3E">
        <w:rPr>
          <w:rFonts w:asciiTheme="majorEastAsia" w:eastAsiaTheme="majorEastAsia" w:hAnsiTheme="majorEastAsia" w:hint="eastAsia"/>
          <w:color w:val="000000"/>
          <w:sz w:val="28"/>
          <w:szCs w:val="28"/>
        </w:rPr>
        <w:t>（2）截至本报告日，所有投资资产正常运营，未发现有异常情况或者不利情况。</w:t>
      </w:r>
    </w:p>
    <w:p w:rsidR="00CA3281" w:rsidRPr="007E2A3E" w:rsidRDefault="00CA3281" w:rsidP="00CA3281">
      <w:pPr>
        <w:spacing w:line="480" w:lineRule="exact"/>
        <w:ind w:firstLineChars="150" w:firstLine="420"/>
        <w:rPr>
          <w:rFonts w:asciiTheme="majorEastAsia" w:eastAsiaTheme="majorEastAsia" w:hAnsiTheme="majorEastAsia"/>
          <w:color w:val="000000"/>
          <w:sz w:val="28"/>
          <w:szCs w:val="28"/>
        </w:rPr>
      </w:pPr>
      <w:r w:rsidRPr="007E2A3E">
        <w:rPr>
          <w:rFonts w:asciiTheme="majorEastAsia" w:eastAsiaTheme="majorEastAsia" w:hAnsiTheme="majorEastAsia" w:hint="eastAsia"/>
          <w:color w:val="000000"/>
          <w:sz w:val="28"/>
          <w:szCs w:val="28"/>
        </w:rPr>
        <w:t>（3）本产品自成立至本报告日，没有发生涉诉及诉讼等损害投资者利益的情形。</w:t>
      </w:r>
    </w:p>
    <w:p w:rsidR="00CA3281" w:rsidRPr="007E2A3E" w:rsidRDefault="00CA3281" w:rsidP="00CA3281">
      <w:pPr>
        <w:spacing w:line="480" w:lineRule="exact"/>
        <w:ind w:right="362" w:firstLineChars="2050" w:firstLine="5740"/>
        <w:jc w:val="right"/>
        <w:rPr>
          <w:rFonts w:asciiTheme="majorEastAsia" w:eastAsiaTheme="majorEastAsia" w:hAnsiTheme="majorEastAsia"/>
          <w:color w:val="000000"/>
          <w:sz w:val="28"/>
          <w:szCs w:val="28"/>
        </w:rPr>
      </w:pPr>
      <w:r w:rsidRPr="007E2A3E">
        <w:rPr>
          <w:rFonts w:asciiTheme="majorEastAsia" w:eastAsiaTheme="majorEastAsia" w:hAnsiTheme="majorEastAsia" w:hint="eastAsia"/>
          <w:color w:val="000000"/>
          <w:sz w:val="28"/>
          <w:szCs w:val="28"/>
        </w:rPr>
        <w:t>中国建设银行</w:t>
      </w:r>
    </w:p>
    <w:p w:rsidR="00CA3281" w:rsidRPr="007E2A3E" w:rsidRDefault="00CA3281" w:rsidP="001A58B4">
      <w:pPr>
        <w:spacing w:line="480" w:lineRule="exact"/>
        <w:ind w:right="222" w:firstLineChars="200" w:firstLine="560"/>
        <w:jc w:val="right"/>
        <w:rPr>
          <w:rFonts w:asciiTheme="majorEastAsia" w:eastAsiaTheme="majorEastAsia" w:hAnsiTheme="majorEastAsia"/>
          <w:color w:val="000000"/>
          <w:sz w:val="28"/>
          <w:szCs w:val="28"/>
        </w:rPr>
      </w:pPr>
      <w:r w:rsidRPr="007E2A3E">
        <w:rPr>
          <w:rFonts w:asciiTheme="majorEastAsia" w:eastAsiaTheme="majorEastAsia" w:hAnsiTheme="majorEastAsia" w:hint="eastAsia"/>
          <w:color w:val="000000"/>
          <w:sz w:val="28"/>
          <w:szCs w:val="28"/>
        </w:rPr>
        <w:t>201</w:t>
      </w:r>
      <w:r w:rsidR="00DA7CFC" w:rsidRPr="007E2A3E">
        <w:rPr>
          <w:rFonts w:asciiTheme="majorEastAsia" w:eastAsiaTheme="majorEastAsia" w:hAnsiTheme="majorEastAsia" w:hint="eastAsia"/>
          <w:color w:val="000000"/>
          <w:sz w:val="28"/>
          <w:szCs w:val="28"/>
        </w:rPr>
        <w:t>8</w:t>
      </w:r>
      <w:r w:rsidRPr="007E2A3E">
        <w:rPr>
          <w:rFonts w:asciiTheme="majorEastAsia" w:eastAsiaTheme="majorEastAsia" w:hAnsiTheme="majorEastAsia" w:hint="eastAsia"/>
          <w:color w:val="000000"/>
          <w:sz w:val="28"/>
          <w:szCs w:val="28"/>
        </w:rPr>
        <w:t>年</w:t>
      </w:r>
      <w:r w:rsidR="00BB3141">
        <w:rPr>
          <w:rFonts w:asciiTheme="majorEastAsia" w:eastAsiaTheme="majorEastAsia" w:hAnsiTheme="majorEastAsia" w:hint="eastAsia"/>
          <w:color w:val="000000"/>
          <w:sz w:val="28"/>
          <w:szCs w:val="28"/>
        </w:rPr>
        <w:t>5</w:t>
      </w:r>
      <w:r w:rsidRPr="007E2A3E">
        <w:rPr>
          <w:rFonts w:asciiTheme="majorEastAsia" w:eastAsiaTheme="majorEastAsia" w:hAnsiTheme="majorEastAsia" w:hint="eastAsia"/>
          <w:color w:val="000000"/>
          <w:sz w:val="28"/>
          <w:szCs w:val="28"/>
        </w:rPr>
        <w:t>月</w:t>
      </w:r>
      <w:r w:rsidR="00BB3141">
        <w:rPr>
          <w:rFonts w:asciiTheme="majorEastAsia" w:eastAsiaTheme="majorEastAsia" w:hAnsiTheme="majorEastAsia" w:hint="eastAsia"/>
          <w:color w:val="000000"/>
          <w:sz w:val="28"/>
          <w:szCs w:val="28"/>
        </w:rPr>
        <w:t>4</w:t>
      </w:r>
      <w:r w:rsidRPr="007E2A3E">
        <w:rPr>
          <w:rFonts w:asciiTheme="majorEastAsia" w:eastAsiaTheme="majorEastAsia" w:hAnsiTheme="majorEastAsia" w:hint="eastAsia"/>
          <w:color w:val="000000"/>
          <w:sz w:val="28"/>
          <w:szCs w:val="28"/>
        </w:rPr>
        <w:t>日</w:t>
      </w:r>
      <w:bookmarkStart w:id="0" w:name="_GoBack"/>
      <w:bookmarkEnd w:id="0"/>
    </w:p>
    <w:sectPr w:rsidR="00CA3281" w:rsidRPr="007E2A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6AA" w:rsidRDefault="005426AA" w:rsidP="00CA3281">
      <w:r>
        <w:separator/>
      </w:r>
    </w:p>
  </w:endnote>
  <w:endnote w:type="continuationSeparator" w:id="0">
    <w:p w:rsidR="005426AA" w:rsidRDefault="005426AA" w:rsidP="00CA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6AA" w:rsidRDefault="005426AA" w:rsidP="00CA3281">
      <w:r>
        <w:separator/>
      </w:r>
    </w:p>
  </w:footnote>
  <w:footnote w:type="continuationSeparator" w:id="0">
    <w:p w:rsidR="005426AA" w:rsidRDefault="005426AA" w:rsidP="00CA3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E8"/>
    <w:rsid w:val="000E0123"/>
    <w:rsid w:val="00121009"/>
    <w:rsid w:val="00153C80"/>
    <w:rsid w:val="001A58B4"/>
    <w:rsid w:val="00254C37"/>
    <w:rsid w:val="00334E76"/>
    <w:rsid w:val="003537DE"/>
    <w:rsid w:val="003767F0"/>
    <w:rsid w:val="003E476B"/>
    <w:rsid w:val="003E73F0"/>
    <w:rsid w:val="004302D5"/>
    <w:rsid w:val="00511D81"/>
    <w:rsid w:val="005426AA"/>
    <w:rsid w:val="00646EE8"/>
    <w:rsid w:val="006475CF"/>
    <w:rsid w:val="006D00E4"/>
    <w:rsid w:val="00702240"/>
    <w:rsid w:val="007B0CC9"/>
    <w:rsid w:val="007D6A17"/>
    <w:rsid w:val="007E2A3E"/>
    <w:rsid w:val="00842413"/>
    <w:rsid w:val="008A0862"/>
    <w:rsid w:val="008C1C11"/>
    <w:rsid w:val="008C2A7F"/>
    <w:rsid w:val="008F76FC"/>
    <w:rsid w:val="009628BB"/>
    <w:rsid w:val="009D7C72"/>
    <w:rsid w:val="009F0B37"/>
    <w:rsid w:val="009F5360"/>
    <w:rsid w:val="00A17E63"/>
    <w:rsid w:val="00A27A60"/>
    <w:rsid w:val="00A27B1E"/>
    <w:rsid w:val="00A66F45"/>
    <w:rsid w:val="00AA1CF9"/>
    <w:rsid w:val="00AA7A73"/>
    <w:rsid w:val="00AD4A45"/>
    <w:rsid w:val="00AF44C7"/>
    <w:rsid w:val="00AF5D6B"/>
    <w:rsid w:val="00B25C56"/>
    <w:rsid w:val="00BB3141"/>
    <w:rsid w:val="00C205F7"/>
    <w:rsid w:val="00CA3281"/>
    <w:rsid w:val="00D1586B"/>
    <w:rsid w:val="00D94FDA"/>
    <w:rsid w:val="00DA7CFC"/>
    <w:rsid w:val="00DE1C0D"/>
    <w:rsid w:val="00DF404F"/>
    <w:rsid w:val="00E20346"/>
    <w:rsid w:val="00E60892"/>
    <w:rsid w:val="00E84F1B"/>
    <w:rsid w:val="00EF1450"/>
    <w:rsid w:val="00FE2282"/>
    <w:rsid w:val="00FE3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28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32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A3281"/>
    <w:rPr>
      <w:sz w:val="18"/>
      <w:szCs w:val="18"/>
    </w:rPr>
  </w:style>
  <w:style w:type="paragraph" w:styleId="a4">
    <w:name w:val="footer"/>
    <w:basedOn w:val="a"/>
    <w:link w:val="Char0"/>
    <w:uiPriority w:val="99"/>
    <w:unhideWhenUsed/>
    <w:rsid w:val="00CA32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A3281"/>
    <w:rPr>
      <w:sz w:val="18"/>
      <w:szCs w:val="18"/>
    </w:rPr>
  </w:style>
  <w:style w:type="paragraph" w:styleId="a5">
    <w:name w:val="Balloon Text"/>
    <w:basedOn w:val="a"/>
    <w:link w:val="Char1"/>
    <w:uiPriority w:val="99"/>
    <w:semiHidden/>
    <w:unhideWhenUsed/>
    <w:rsid w:val="00CA3281"/>
    <w:rPr>
      <w:sz w:val="18"/>
      <w:szCs w:val="18"/>
    </w:rPr>
  </w:style>
  <w:style w:type="character" w:customStyle="1" w:styleId="Char1">
    <w:name w:val="批注框文本 Char"/>
    <w:basedOn w:val="a0"/>
    <w:link w:val="a5"/>
    <w:uiPriority w:val="99"/>
    <w:semiHidden/>
    <w:rsid w:val="00CA3281"/>
    <w:rPr>
      <w:rFonts w:ascii="Calibri" w:eastAsia="宋体" w:hAnsi="Calibri" w:cs="Times New Roman"/>
      <w:sz w:val="18"/>
      <w:szCs w:val="18"/>
    </w:rPr>
  </w:style>
  <w:style w:type="paragraph" w:styleId="a6">
    <w:name w:val="Normal (Web)"/>
    <w:basedOn w:val="a"/>
    <w:uiPriority w:val="99"/>
    <w:unhideWhenUsed/>
    <w:rsid w:val="00A27A60"/>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A27A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28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32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A3281"/>
    <w:rPr>
      <w:sz w:val="18"/>
      <w:szCs w:val="18"/>
    </w:rPr>
  </w:style>
  <w:style w:type="paragraph" w:styleId="a4">
    <w:name w:val="footer"/>
    <w:basedOn w:val="a"/>
    <w:link w:val="Char0"/>
    <w:uiPriority w:val="99"/>
    <w:unhideWhenUsed/>
    <w:rsid w:val="00CA32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A3281"/>
    <w:rPr>
      <w:sz w:val="18"/>
      <w:szCs w:val="18"/>
    </w:rPr>
  </w:style>
  <w:style w:type="paragraph" w:styleId="a5">
    <w:name w:val="Balloon Text"/>
    <w:basedOn w:val="a"/>
    <w:link w:val="Char1"/>
    <w:uiPriority w:val="99"/>
    <w:semiHidden/>
    <w:unhideWhenUsed/>
    <w:rsid w:val="00CA3281"/>
    <w:rPr>
      <w:sz w:val="18"/>
      <w:szCs w:val="18"/>
    </w:rPr>
  </w:style>
  <w:style w:type="character" w:customStyle="1" w:styleId="Char1">
    <w:name w:val="批注框文本 Char"/>
    <w:basedOn w:val="a0"/>
    <w:link w:val="a5"/>
    <w:uiPriority w:val="99"/>
    <w:semiHidden/>
    <w:rsid w:val="00CA3281"/>
    <w:rPr>
      <w:rFonts w:ascii="Calibri" w:eastAsia="宋体" w:hAnsi="Calibri" w:cs="Times New Roman"/>
      <w:sz w:val="18"/>
      <w:szCs w:val="18"/>
    </w:rPr>
  </w:style>
  <w:style w:type="paragraph" w:styleId="a6">
    <w:name w:val="Normal (Web)"/>
    <w:basedOn w:val="a"/>
    <w:uiPriority w:val="99"/>
    <w:unhideWhenUsed/>
    <w:rsid w:val="00A27A60"/>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A27A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7800">
      <w:bodyDiv w:val="1"/>
      <w:marLeft w:val="0"/>
      <w:marRight w:val="0"/>
      <w:marTop w:val="0"/>
      <w:marBottom w:val="0"/>
      <w:divBdr>
        <w:top w:val="none" w:sz="0" w:space="0" w:color="auto"/>
        <w:left w:val="none" w:sz="0" w:space="0" w:color="auto"/>
        <w:bottom w:val="none" w:sz="0" w:space="0" w:color="auto"/>
        <w:right w:val="none" w:sz="0" w:space="0" w:color="auto"/>
      </w:divBdr>
    </w:div>
    <w:div w:id="212548054">
      <w:bodyDiv w:val="1"/>
      <w:marLeft w:val="0"/>
      <w:marRight w:val="0"/>
      <w:marTop w:val="0"/>
      <w:marBottom w:val="0"/>
      <w:divBdr>
        <w:top w:val="none" w:sz="0" w:space="0" w:color="auto"/>
        <w:left w:val="none" w:sz="0" w:space="0" w:color="auto"/>
        <w:bottom w:val="none" w:sz="0" w:space="0" w:color="auto"/>
        <w:right w:val="none" w:sz="0" w:space="0" w:color="auto"/>
      </w:divBdr>
    </w:div>
    <w:div w:id="361899113">
      <w:bodyDiv w:val="1"/>
      <w:marLeft w:val="0"/>
      <w:marRight w:val="0"/>
      <w:marTop w:val="0"/>
      <w:marBottom w:val="0"/>
      <w:divBdr>
        <w:top w:val="none" w:sz="0" w:space="0" w:color="auto"/>
        <w:left w:val="none" w:sz="0" w:space="0" w:color="auto"/>
        <w:bottom w:val="none" w:sz="0" w:space="0" w:color="auto"/>
        <w:right w:val="none" w:sz="0" w:space="0" w:color="auto"/>
      </w:divBdr>
    </w:div>
    <w:div w:id="381639427">
      <w:bodyDiv w:val="1"/>
      <w:marLeft w:val="0"/>
      <w:marRight w:val="0"/>
      <w:marTop w:val="0"/>
      <w:marBottom w:val="0"/>
      <w:divBdr>
        <w:top w:val="none" w:sz="0" w:space="0" w:color="auto"/>
        <w:left w:val="none" w:sz="0" w:space="0" w:color="auto"/>
        <w:bottom w:val="none" w:sz="0" w:space="0" w:color="auto"/>
        <w:right w:val="none" w:sz="0" w:space="0" w:color="auto"/>
      </w:divBdr>
    </w:div>
    <w:div w:id="494614724">
      <w:bodyDiv w:val="1"/>
      <w:marLeft w:val="0"/>
      <w:marRight w:val="0"/>
      <w:marTop w:val="0"/>
      <w:marBottom w:val="0"/>
      <w:divBdr>
        <w:top w:val="none" w:sz="0" w:space="0" w:color="auto"/>
        <w:left w:val="none" w:sz="0" w:space="0" w:color="auto"/>
        <w:bottom w:val="none" w:sz="0" w:space="0" w:color="auto"/>
        <w:right w:val="none" w:sz="0" w:space="0" w:color="auto"/>
      </w:divBdr>
    </w:div>
    <w:div w:id="526332408">
      <w:bodyDiv w:val="1"/>
      <w:marLeft w:val="0"/>
      <w:marRight w:val="0"/>
      <w:marTop w:val="0"/>
      <w:marBottom w:val="0"/>
      <w:divBdr>
        <w:top w:val="none" w:sz="0" w:space="0" w:color="auto"/>
        <w:left w:val="none" w:sz="0" w:space="0" w:color="auto"/>
        <w:bottom w:val="none" w:sz="0" w:space="0" w:color="auto"/>
        <w:right w:val="none" w:sz="0" w:space="0" w:color="auto"/>
      </w:divBdr>
    </w:div>
    <w:div w:id="551580476">
      <w:bodyDiv w:val="1"/>
      <w:marLeft w:val="0"/>
      <w:marRight w:val="0"/>
      <w:marTop w:val="0"/>
      <w:marBottom w:val="0"/>
      <w:divBdr>
        <w:top w:val="none" w:sz="0" w:space="0" w:color="auto"/>
        <w:left w:val="none" w:sz="0" w:space="0" w:color="auto"/>
        <w:bottom w:val="none" w:sz="0" w:space="0" w:color="auto"/>
        <w:right w:val="none" w:sz="0" w:space="0" w:color="auto"/>
      </w:divBdr>
    </w:div>
    <w:div w:id="610090173">
      <w:bodyDiv w:val="1"/>
      <w:marLeft w:val="0"/>
      <w:marRight w:val="0"/>
      <w:marTop w:val="0"/>
      <w:marBottom w:val="0"/>
      <w:divBdr>
        <w:top w:val="none" w:sz="0" w:space="0" w:color="auto"/>
        <w:left w:val="none" w:sz="0" w:space="0" w:color="auto"/>
        <w:bottom w:val="none" w:sz="0" w:space="0" w:color="auto"/>
        <w:right w:val="none" w:sz="0" w:space="0" w:color="auto"/>
      </w:divBdr>
    </w:div>
    <w:div w:id="635839517">
      <w:bodyDiv w:val="1"/>
      <w:marLeft w:val="0"/>
      <w:marRight w:val="0"/>
      <w:marTop w:val="0"/>
      <w:marBottom w:val="0"/>
      <w:divBdr>
        <w:top w:val="none" w:sz="0" w:space="0" w:color="auto"/>
        <w:left w:val="none" w:sz="0" w:space="0" w:color="auto"/>
        <w:bottom w:val="none" w:sz="0" w:space="0" w:color="auto"/>
        <w:right w:val="none" w:sz="0" w:space="0" w:color="auto"/>
      </w:divBdr>
    </w:div>
    <w:div w:id="718241561">
      <w:bodyDiv w:val="1"/>
      <w:marLeft w:val="0"/>
      <w:marRight w:val="0"/>
      <w:marTop w:val="0"/>
      <w:marBottom w:val="0"/>
      <w:divBdr>
        <w:top w:val="none" w:sz="0" w:space="0" w:color="auto"/>
        <w:left w:val="none" w:sz="0" w:space="0" w:color="auto"/>
        <w:bottom w:val="none" w:sz="0" w:space="0" w:color="auto"/>
        <w:right w:val="none" w:sz="0" w:space="0" w:color="auto"/>
      </w:divBdr>
    </w:div>
    <w:div w:id="775636242">
      <w:bodyDiv w:val="1"/>
      <w:marLeft w:val="0"/>
      <w:marRight w:val="0"/>
      <w:marTop w:val="0"/>
      <w:marBottom w:val="0"/>
      <w:divBdr>
        <w:top w:val="none" w:sz="0" w:space="0" w:color="auto"/>
        <w:left w:val="none" w:sz="0" w:space="0" w:color="auto"/>
        <w:bottom w:val="none" w:sz="0" w:space="0" w:color="auto"/>
        <w:right w:val="none" w:sz="0" w:space="0" w:color="auto"/>
      </w:divBdr>
    </w:div>
    <w:div w:id="980812730">
      <w:bodyDiv w:val="1"/>
      <w:marLeft w:val="0"/>
      <w:marRight w:val="0"/>
      <w:marTop w:val="0"/>
      <w:marBottom w:val="0"/>
      <w:divBdr>
        <w:top w:val="none" w:sz="0" w:space="0" w:color="auto"/>
        <w:left w:val="none" w:sz="0" w:space="0" w:color="auto"/>
        <w:bottom w:val="none" w:sz="0" w:space="0" w:color="auto"/>
        <w:right w:val="none" w:sz="0" w:space="0" w:color="auto"/>
      </w:divBdr>
      <w:divsChild>
        <w:div w:id="332148557">
          <w:marLeft w:val="0"/>
          <w:marRight w:val="0"/>
          <w:marTop w:val="600"/>
          <w:marBottom w:val="900"/>
          <w:divBdr>
            <w:top w:val="none" w:sz="0" w:space="0" w:color="auto"/>
            <w:left w:val="none" w:sz="0" w:space="0" w:color="auto"/>
            <w:bottom w:val="none" w:sz="0" w:space="0" w:color="auto"/>
            <w:right w:val="none" w:sz="0" w:space="0" w:color="auto"/>
          </w:divBdr>
          <w:divsChild>
            <w:div w:id="452335751">
              <w:marLeft w:val="0"/>
              <w:marRight w:val="0"/>
              <w:marTop w:val="0"/>
              <w:marBottom w:val="0"/>
              <w:divBdr>
                <w:top w:val="none" w:sz="0" w:space="0" w:color="auto"/>
                <w:left w:val="none" w:sz="0" w:space="0" w:color="auto"/>
                <w:bottom w:val="none" w:sz="0" w:space="0" w:color="auto"/>
                <w:right w:val="single" w:sz="6" w:space="30" w:color="EEEEEE"/>
              </w:divBdr>
              <w:divsChild>
                <w:div w:id="13810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03275">
      <w:bodyDiv w:val="1"/>
      <w:marLeft w:val="0"/>
      <w:marRight w:val="0"/>
      <w:marTop w:val="0"/>
      <w:marBottom w:val="0"/>
      <w:divBdr>
        <w:top w:val="none" w:sz="0" w:space="0" w:color="auto"/>
        <w:left w:val="none" w:sz="0" w:space="0" w:color="auto"/>
        <w:bottom w:val="none" w:sz="0" w:space="0" w:color="auto"/>
        <w:right w:val="none" w:sz="0" w:space="0" w:color="auto"/>
      </w:divBdr>
    </w:div>
    <w:div w:id="1133715678">
      <w:bodyDiv w:val="1"/>
      <w:marLeft w:val="0"/>
      <w:marRight w:val="0"/>
      <w:marTop w:val="0"/>
      <w:marBottom w:val="0"/>
      <w:divBdr>
        <w:top w:val="none" w:sz="0" w:space="0" w:color="auto"/>
        <w:left w:val="none" w:sz="0" w:space="0" w:color="auto"/>
        <w:bottom w:val="none" w:sz="0" w:space="0" w:color="auto"/>
        <w:right w:val="none" w:sz="0" w:space="0" w:color="auto"/>
      </w:divBdr>
    </w:div>
    <w:div w:id="1573272220">
      <w:bodyDiv w:val="1"/>
      <w:marLeft w:val="0"/>
      <w:marRight w:val="0"/>
      <w:marTop w:val="0"/>
      <w:marBottom w:val="0"/>
      <w:divBdr>
        <w:top w:val="none" w:sz="0" w:space="0" w:color="auto"/>
        <w:left w:val="none" w:sz="0" w:space="0" w:color="auto"/>
        <w:bottom w:val="none" w:sz="0" w:space="0" w:color="auto"/>
        <w:right w:val="none" w:sz="0" w:space="0" w:color="auto"/>
      </w:divBdr>
    </w:div>
    <w:div w:id="1823962461">
      <w:bodyDiv w:val="1"/>
      <w:marLeft w:val="0"/>
      <w:marRight w:val="0"/>
      <w:marTop w:val="0"/>
      <w:marBottom w:val="0"/>
      <w:divBdr>
        <w:top w:val="none" w:sz="0" w:space="0" w:color="auto"/>
        <w:left w:val="none" w:sz="0" w:space="0" w:color="auto"/>
        <w:bottom w:val="none" w:sz="0" w:space="0" w:color="auto"/>
        <w:right w:val="none" w:sz="0" w:space="0" w:color="auto"/>
      </w:divBdr>
    </w:div>
    <w:div w:id="1848667032">
      <w:bodyDiv w:val="1"/>
      <w:marLeft w:val="0"/>
      <w:marRight w:val="0"/>
      <w:marTop w:val="0"/>
      <w:marBottom w:val="0"/>
      <w:divBdr>
        <w:top w:val="none" w:sz="0" w:space="0" w:color="auto"/>
        <w:left w:val="none" w:sz="0" w:space="0" w:color="auto"/>
        <w:bottom w:val="none" w:sz="0" w:space="0" w:color="auto"/>
        <w:right w:val="none" w:sz="0" w:space="0" w:color="auto"/>
      </w:divBdr>
    </w:div>
    <w:div w:id="189395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80430&#25353;&#21608;&#25259;&#38706;\2018&#24180;4&#26376;30&#26085;&#36164;&#20135;&#27719;&#24635;&#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80430&#25353;&#21608;&#25259;&#38706;\2018&#24180;4&#26376;30&#26085;&#36164;&#20135;&#27719;&#24635;&#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80430&#25353;&#21608;&#25259;&#38706;\2018&#24180;4&#26376;30&#26085;&#36164;&#20135;&#27719;&#24635;&#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0555555555555555E-2"/>
          <c:y val="5.0925925925925923E-2"/>
          <c:w val="0.70837642169728787"/>
          <c:h val="0.89814814814814814"/>
        </c:manualLayout>
      </c:layout>
      <c:pie3DChart>
        <c:varyColors val="1"/>
        <c:ser>
          <c:idx val="0"/>
          <c:order val="0"/>
          <c:dPt>
            <c:idx val="0"/>
            <c:bubble3D val="0"/>
          </c:dPt>
          <c:dPt>
            <c:idx val="1"/>
            <c:bubble3D val="0"/>
          </c:dPt>
          <c:dLbls>
            <c:dLbl>
              <c:idx val="0"/>
              <c:spPr/>
              <c:txPr>
                <a:bodyPr/>
                <a:lstStyle/>
                <a:p>
                  <a:pPr>
                    <a:defRPr/>
                  </a:pPr>
                  <a:endParaRPr lang="zh-CN"/>
                </a:p>
              </c:txPr>
              <c:dLblPos val="bestFit"/>
              <c:showLegendKey val="0"/>
              <c:showVal val="1"/>
              <c:showCatName val="0"/>
              <c:showSerName val="0"/>
              <c:showPercent val="0"/>
              <c:showBubbleSize val="0"/>
            </c:dLbl>
            <c:dLbl>
              <c:idx val="1"/>
              <c:spPr/>
              <c:txPr>
                <a:bodyPr/>
                <a:lstStyle/>
                <a:p>
                  <a:pPr>
                    <a:defRPr/>
                  </a:pPr>
                  <a:endParaRPr lang="zh-CN"/>
                </a:p>
              </c:txPr>
              <c:dLblPos val="bestFit"/>
              <c:showLegendKey val="0"/>
              <c:showVal val="1"/>
              <c:showCatName val="0"/>
              <c:showSerName val="0"/>
              <c:showPercent val="0"/>
              <c:showBubbleSize val="0"/>
            </c:dLbl>
            <c:showLegendKey val="0"/>
            <c:showVal val="0"/>
            <c:showCatName val="0"/>
            <c:showSerName val="0"/>
            <c:showPercent val="0"/>
            <c:showBubbleSize val="0"/>
          </c:dLbls>
          <c:cat>
            <c:strRef>
              <c:f>'[2018年4月30日资产汇总表.xls]2018年4月'!$A$122:$A$123</c:f>
              <c:strCache>
                <c:ptCount val="2"/>
                <c:pt idx="0">
                  <c:v>现金及债券类</c:v>
                </c:pt>
                <c:pt idx="1">
                  <c:v>融资类</c:v>
                </c:pt>
              </c:strCache>
            </c:strRef>
          </c:cat>
          <c:val>
            <c:numRef>
              <c:f>'[2018年4月30日资产汇总表.xls]2018年4月'!$B$122:$B$123</c:f>
              <c:numCache>
                <c:formatCode>0.00%</c:formatCode>
                <c:ptCount val="2"/>
                <c:pt idx="0">
                  <c:v>1.4700627673636614E-2</c:v>
                </c:pt>
                <c:pt idx="1">
                  <c:v>0.98529937232607112</c:v>
                </c:pt>
              </c:numCache>
            </c:numRef>
          </c:val>
        </c:ser>
        <c:dLbls>
          <c:showLegendKey val="0"/>
          <c:showVal val="0"/>
          <c:showCatName val="0"/>
          <c:showSerName val="0"/>
          <c:showPercent val="0"/>
          <c:showBubbleSize val="0"/>
          <c:showLeaderLines val="1"/>
        </c:dLbls>
      </c:pie3DChart>
      <c:spPr>
        <a:noFill/>
        <a:ln w="25400">
          <a:noFill/>
        </a:ln>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6872484689413822E-2"/>
          <c:y val="6.25E-2"/>
          <c:w val="0.78161169853768275"/>
          <c:h val="0.93099242311692187"/>
        </c:manualLayout>
      </c:layout>
      <c:pie3DChart>
        <c:varyColors val="1"/>
        <c:ser>
          <c:idx val="0"/>
          <c:order val="0"/>
          <c:dPt>
            <c:idx val="0"/>
            <c:bubble3D val="0"/>
          </c:dPt>
          <c:dPt>
            <c:idx val="1"/>
            <c:bubble3D val="0"/>
          </c:dPt>
          <c:dPt>
            <c:idx val="2"/>
            <c:bubble3D val="0"/>
          </c:dPt>
          <c:dPt>
            <c:idx val="3"/>
            <c:bubble3D val="0"/>
          </c:dPt>
          <c:dPt>
            <c:idx val="4"/>
            <c:bubble3D val="0"/>
          </c:dPt>
          <c:dLbls>
            <c:showLegendKey val="0"/>
            <c:showVal val="1"/>
            <c:showCatName val="0"/>
            <c:showSerName val="0"/>
            <c:showPercent val="0"/>
            <c:showBubbleSize val="0"/>
            <c:showLeaderLines val="1"/>
          </c:dLbls>
          <c:cat>
            <c:strRef>
              <c:f>'[2018年4月30日资产汇总表.xls]2018年4月'!$A$129:$A$133</c:f>
              <c:strCache>
                <c:ptCount val="5"/>
                <c:pt idx="0">
                  <c:v>无</c:v>
                </c:pt>
                <c:pt idx="1">
                  <c:v>AAA</c:v>
                </c:pt>
                <c:pt idx="2">
                  <c:v>AA-</c:v>
                </c:pt>
                <c:pt idx="3">
                  <c:v>AA</c:v>
                </c:pt>
                <c:pt idx="4">
                  <c:v>A</c:v>
                </c:pt>
              </c:strCache>
            </c:strRef>
          </c:cat>
          <c:val>
            <c:numRef>
              <c:f>'[2018年4月30日资产汇总表.xls]2018年4月'!$B$129:$B$133</c:f>
              <c:numCache>
                <c:formatCode>0.00%</c:formatCode>
                <c:ptCount val="5"/>
                <c:pt idx="0">
                  <c:v>0.50961798668490221</c:v>
                </c:pt>
                <c:pt idx="1">
                  <c:v>0.16834452789433438</c:v>
                </c:pt>
                <c:pt idx="2">
                  <c:v>0.16153812091409131</c:v>
                </c:pt>
                <c:pt idx="3">
                  <c:v>0.11688756080416361</c:v>
                </c:pt>
                <c:pt idx="4">
                  <c:v>4.3611803702508452E-2</c:v>
                </c:pt>
              </c:numCache>
            </c:numRef>
          </c:val>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79299197600299964"/>
          <c:y val="0.21567721487644234"/>
          <c:w val="0.18415088113985753"/>
          <c:h val="0.59380230773040166"/>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3892001204767436"/>
          <c:y val="5.057471264367816E-2"/>
          <c:w val="0.60253727846860672"/>
          <c:h val="0.83424527106525481"/>
        </c:manualLayout>
      </c:layout>
      <c:barChart>
        <c:barDir val="bar"/>
        <c:grouping val="clustered"/>
        <c:varyColors val="0"/>
        <c:ser>
          <c:idx val="0"/>
          <c:order val="0"/>
          <c:tx>
            <c:strRef>
              <c:f>'[2018年4月30日资产汇总表.xls]2018年4月'!$B$138</c:f>
              <c:strCache>
                <c:ptCount val="1"/>
                <c:pt idx="0">
                  <c:v>4月各行业</c:v>
                </c:pt>
              </c:strCache>
            </c:strRef>
          </c:tx>
          <c:invertIfNegative val="0"/>
          <c:cat>
            <c:strRef>
              <c:f>'[2018年4月30日资产汇总表.xls]2018年4月'!$A$139:$A$148</c:f>
              <c:strCache>
                <c:ptCount val="10"/>
                <c:pt idx="0">
                  <c:v>房地产业</c:v>
                </c:pt>
                <c:pt idx="1">
                  <c:v>建筑业</c:v>
                </c:pt>
                <c:pt idx="2">
                  <c:v>交通运输、仓储和邮政业</c:v>
                </c:pt>
                <c:pt idx="3">
                  <c:v>水利、环境和公共设施管理业</c:v>
                </c:pt>
                <c:pt idx="4">
                  <c:v>租赁和商务服务业</c:v>
                </c:pt>
                <c:pt idx="5">
                  <c:v>综合</c:v>
                </c:pt>
                <c:pt idx="6">
                  <c:v>电力、热力、燃气及水生产和供应业</c:v>
                </c:pt>
                <c:pt idx="7">
                  <c:v>科学研究、技术服务和地质勘查业</c:v>
                </c:pt>
                <c:pt idx="8">
                  <c:v>制造业</c:v>
                </c:pt>
                <c:pt idx="9">
                  <c:v>批发和零售业</c:v>
                </c:pt>
              </c:strCache>
            </c:strRef>
          </c:cat>
          <c:val>
            <c:numRef>
              <c:f>'[2018年4月30日资产汇总表.xls]2018年4月'!$B$139:$B$148</c:f>
              <c:numCache>
                <c:formatCode>0.00%</c:formatCode>
                <c:ptCount val="10"/>
                <c:pt idx="0">
                  <c:v>4.5690419023744516E-2</c:v>
                </c:pt>
                <c:pt idx="1">
                  <c:v>2.4422610073404731E-2</c:v>
                </c:pt>
                <c:pt idx="2">
                  <c:v>0</c:v>
                </c:pt>
                <c:pt idx="3">
                  <c:v>4.0122859406307776E-2</c:v>
                </c:pt>
                <c:pt idx="4">
                  <c:v>0.68914981446500412</c:v>
                </c:pt>
                <c:pt idx="5">
                  <c:v>5.2334164443010138E-2</c:v>
                </c:pt>
                <c:pt idx="6">
                  <c:v>3.4889442962006759E-2</c:v>
                </c:pt>
                <c:pt idx="7">
                  <c:v>0</c:v>
                </c:pt>
                <c:pt idx="8">
                  <c:v>6.9778885924013517E-2</c:v>
                </c:pt>
                <c:pt idx="9">
                  <c:v>4.3611803702508452E-2</c:v>
                </c:pt>
              </c:numCache>
            </c:numRef>
          </c:val>
        </c:ser>
        <c:ser>
          <c:idx val="1"/>
          <c:order val="1"/>
          <c:tx>
            <c:strRef>
              <c:f>'[2018年4月30日资产汇总表.xls]2018年4月'!$C$138</c:f>
              <c:strCache>
                <c:ptCount val="1"/>
                <c:pt idx="0">
                  <c:v>3月各行业</c:v>
                </c:pt>
              </c:strCache>
            </c:strRef>
          </c:tx>
          <c:invertIfNegative val="0"/>
          <c:cat>
            <c:strRef>
              <c:f>'[2018年4月30日资产汇总表.xls]2018年4月'!$A$139:$A$148</c:f>
              <c:strCache>
                <c:ptCount val="10"/>
                <c:pt idx="0">
                  <c:v>房地产业</c:v>
                </c:pt>
                <c:pt idx="1">
                  <c:v>建筑业</c:v>
                </c:pt>
                <c:pt idx="2">
                  <c:v>交通运输、仓储和邮政业</c:v>
                </c:pt>
                <c:pt idx="3">
                  <c:v>水利、环境和公共设施管理业</c:v>
                </c:pt>
                <c:pt idx="4">
                  <c:v>租赁和商务服务业</c:v>
                </c:pt>
                <c:pt idx="5">
                  <c:v>综合</c:v>
                </c:pt>
                <c:pt idx="6">
                  <c:v>电力、热力、燃气及水生产和供应业</c:v>
                </c:pt>
                <c:pt idx="7">
                  <c:v>科学研究、技术服务和地质勘查业</c:v>
                </c:pt>
                <c:pt idx="8">
                  <c:v>制造业</c:v>
                </c:pt>
                <c:pt idx="9">
                  <c:v>批发和零售业</c:v>
                </c:pt>
              </c:strCache>
            </c:strRef>
          </c:cat>
          <c:val>
            <c:numRef>
              <c:f>'[2018年4月30日资产汇总表.xls]2018年4月'!$C$139:$C$148</c:f>
              <c:numCache>
                <c:formatCode>0.00%</c:formatCode>
                <c:ptCount val="10"/>
                <c:pt idx="0">
                  <c:v>5.9201527288568319E-2</c:v>
                </c:pt>
                <c:pt idx="1">
                  <c:v>3.1644617134444476E-2</c:v>
                </c:pt>
                <c:pt idx="2">
                  <c:v>9.041319181269851E-2</c:v>
                </c:pt>
                <c:pt idx="3">
                  <c:v>0.11979747915182552</c:v>
                </c:pt>
                <c:pt idx="4">
                  <c:v>0.56332339689341537</c:v>
                </c:pt>
                <c:pt idx="5">
                  <c:v>6.7809893859523879E-2</c:v>
                </c:pt>
                <c:pt idx="6">
                  <c:v>5.650824488293657E-2</c:v>
                </c:pt>
                <c:pt idx="7">
                  <c:v>1.1301648976587314E-2</c:v>
                </c:pt>
                <c:pt idx="8">
                  <c:v>0</c:v>
                </c:pt>
                <c:pt idx="9">
                  <c:v>0</c:v>
                </c:pt>
              </c:numCache>
            </c:numRef>
          </c:val>
        </c:ser>
        <c:ser>
          <c:idx val="2"/>
          <c:order val="2"/>
          <c:tx>
            <c:strRef>
              <c:f>'[2018年4月30日资产汇总表.xls]2018年4月'!$D$138</c:f>
              <c:strCache>
                <c:ptCount val="1"/>
                <c:pt idx="0">
                  <c:v>行业变化</c:v>
                </c:pt>
              </c:strCache>
            </c:strRef>
          </c:tx>
          <c:invertIfNegative val="0"/>
          <c:cat>
            <c:strRef>
              <c:f>'[2018年4月30日资产汇总表.xls]2018年4月'!$A$139:$A$148</c:f>
              <c:strCache>
                <c:ptCount val="10"/>
                <c:pt idx="0">
                  <c:v>房地产业</c:v>
                </c:pt>
                <c:pt idx="1">
                  <c:v>建筑业</c:v>
                </c:pt>
                <c:pt idx="2">
                  <c:v>交通运输、仓储和邮政业</c:v>
                </c:pt>
                <c:pt idx="3">
                  <c:v>水利、环境和公共设施管理业</c:v>
                </c:pt>
                <c:pt idx="4">
                  <c:v>租赁和商务服务业</c:v>
                </c:pt>
                <c:pt idx="5">
                  <c:v>综合</c:v>
                </c:pt>
                <c:pt idx="6">
                  <c:v>电力、热力、燃气及水生产和供应业</c:v>
                </c:pt>
                <c:pt idx="7">
                  <c:v>科学研究、技术服务和地质勘查业</c:v>
                </c:pt>
                <c:pt idx="8">
                  <c:v>制造业</c:v>
                </c:pt>
                <c:pt idx="9">
                  <c:v>批发和零售业</c:v>
                </c:pt>
              </c:strCache>
            </c:strRef>
          </c:cat>
          <c:val>
            <c:numRef>
              <c:f>'[2018年4月30日资产汇总表.xls]2018年4月'!$D$139:$D$148</c:f>
              <c:numCache>
                <c:formatCode>0.00%</c:formatCode>
                <c:ptCount val="10"/>
                <c:pt idx="0">
                  <c:v>-1.3511108264823803E-2</c:v>
                </c:pt>
                <c:pt idx="1">
                  <c:v>-7.2220070610397452E-3</c:v>
                </c:pt>
                <c:pt idx="2">
                  <c:v>-9.041319181269851E-2</c:v>
                </c:pt>
                <c:pt idx="3">
                  <c:v>-7.9674619745517747E-2</c:v>
                </c:pt>
                <c:pt idx="4">
                  <c:v>0.12582641757158874</c:v>
                </c:pt>
                <c:pt idx="5">
                  <c:v>-1.5475729416513741E-2</c:v>
                </c:pt>
                <c:pt idx="6">
                  <c:v>-2.1618801920929812E-2</c:v>
                </c:pt>
                <c:pt idx="7">
                  <c:v>-1.1301648976587314E-2</c:v>
                </c:pt>
                <c:pt idx="8">
                  <c:v>6.9778885924013517E-2</c:v>
                </c:pt>
                <c:pt idx="9">
                  <c:v>4.3611803702508452E-2</c:v>
                </c:pt>
              </c:numCache>
            </c:numRef>
          </c:val>
        </c:ser>
        <c:dLbls>
          <c:showLegendKey val="0"/>
          <c:showVal val="0"/>
          <c:showCatName val="0"/>
          <c:showSerName val="0"/>
          <c:showPercent val="0"/>
          <c:showBubbleSize val="0"/>
        </c:dLbls>
        <c:gapWidth val="150"/>
        <c:axId val="120241152"/>
        <c:axId val="120333056"/>
      </c:barChart>
      <c:catAx>
        <c:axId val="120241152"/>
        <c:scaling>
          <c:orientation val="minMax"/>
        </c:scaling>
        <c:delete val="0"/>
        <c:axPos val="l"/>
        <c:numFmt formatCode="General" sourceLinked="1"/>
        <c:majorTickMark val="out"/>
        <c:minorTickMark val="none"/>
        <c:tickLblPos val="nextTo"/>
        <c:crossAx val="120333056"/>
        <c:crosses val="autoZero"/>
        <c:auto val="1"/>
        <c:lblAlgn val="ctr"/>
        <c:lblOffset val="100"/>
        <c:noMultiLvlLbl val="0"/>
      </c:catAx>
      <c:valAx>
        <c:axId val="120333056"/>
        <c:scaling>
          <c:orientation val="minMax"/>
          <c:max val="0.70000000000000007"/>
          <c:min val="-0.1"/>
        </c:scaling>
        <c:delete val="0"/>
        <c:axPos val="b"/>
        <c:majorGridlines/>
        <c:numFmt formatCode="0%" sourceLinked="0"/>
        <c:majorTickMark val="out"/>
        <c:minorTickMark val="none"/>
        <c:tickLblPos val="nextTo"/>
        <c:crossAx val="120241152"/>
        <c:crosses val="autoZero"/>
        <c:crossBetween val="between"/>
        <c:majorUnit val="0.1"/>
      </c:valAx>
    </c:plotArea>
    <c:legend>
      <c:legendPos val="r"/>
      <c:layout>
        <c:manualLayout>
          <c:xMode val="edge"/>
          <c:yMode val="edge"/>
          <c:x val="0.79828903900673609"/>
          <c:y val="7.1841795637614253E-2"/>
          <c:w val="0.15070913949963904"/>
          <c:h val="0.2494194949769209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杨雯玥</dc:creator>
  <cp:lastModifiedBy>陈策</cp:lastModifiedBy>
  <cp:revision>3</cp:revision>
  <dcterms:created xsi:type="dcterms:W3CDTF">2018-05-03T11:39:00Z</dcterms:created>
  <dcterms:modified xsi:type="dcterms:W3CDTF">2018-05-03T11:40:00Z</dcterms:modified>
</cp:coreProperties>
</file>